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536578F2"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r w:rsidR="002D75D4">
        <w:rPr>
          <w:rFonts w:ascii="Arial" w:hAnsi="Arial" w:cs="Arial"/>
          <w:b/>
          <w:bCs/>
          <w:color w:val="000000"/>
          <w:sz w:val="20"/>
          <w:szCs w:val="20"/>
          <w:lang w:val="en-GB" w:eastAsia="en-US"/>
        </w:rPr>
        <w:t xml:space="preserve"> (BRAINS-2026 PPP call)</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sidRPr="001552FC">
        <w:rPr>
          <w:rStyle w:val="CommentReference"/>
          <w:rFonts w:ascii="Arial" w:hAnsi="Arial" w:cs="Arial"/>
          <w:sz w:val="20"/>
          <w:szCs w:val="20"/>
          <w:lang w:val="en-GB"/>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rFonts w:ascii="Arial" w:hAnsi="Arial" w:cs="Arial"/>
          <w:sz w:val="20"/>
          <w:szCs w:val="20"/>
          <w:lang w:val="en-GB"/>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3A0C81CE"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Stichting Life Sciences Health – TKI (also acting under its trade name Health</w:t>
      </w:r>
      <w:r w:rsidR="00374D3A">
        <w:rPr>
          <w:rFonts w:ascii="Arial" w:hAnsi="Arial" w:cs="Arial"/>
          <w:lang w:val="en-GB"/>
        </w:rPr>
        <w:t xml:space="preserve"> </w:t>
      </w:r>
      <w:r w:rsidRPr="001552FC">
        <w:rPr>
          <w:rFonts w:ascii="Arial" w:hAnsi="Arial" w:cs="Arial"/>
          <w:lang w:val="en-GB"/>
        </w:rPr>
        <w:t>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Stichting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55AD8E20" w:rsidR="00973DC3" w:rsidRPr="0045505E" w:rsidRDefault="00973DC3" w:rsidP="0045505E">
      <w:pPr>
        <w:pStyle w:val="ListParagraph"/>
        <w:numPr>
          <w:ilvl w:val="0"/>
          <w:numId w:val="32"/>
        </w:numPr>
        <w:spacing w:after="120" w:line="276" w:lineRule="auto"/>
        <w:jc w:val="both"/>
        <w:rPr>
          <w:rFonts w:ascii="Arial" w:hAnsi="Arial" w:cs="Arial"/>
        </w:rPr>
      </w:pPr>
      <w:r w:rsidRPr="00973DC3">
        <w:rPr>
          <w:rFonts w:ascii="Arial" w:hAnsi="Arial" w:cs="Arial"/>
          <w:lang w:val="en-US"/>
        </w:rPr>
        <w:t xml:space="preserve">Stichting LSH-TKI has given the </w:t>
      </w:r>
      <w:r w:rsidR="005F66B2">
        <w:rPr>
          <w:rFonts w:ascii="Arial" w:hAnsi="Arial" w:cs="Arial"/>
          <w:lang w:val="en-US"/>
        </w:rPr>
        <w:t>PPP Program BRAINS</w:t>
      </w:r>
      <w:r w:rsidRPr="00973DC3">
        <w:rPr>
          <w:rFonts w:ascii="Arial" w:hAnsi="Arial" w:cs="Arial"/>
          <w:lang w:val="en-US"/>
        </w:rPr>
        <w:t xml:space="preserve"> (hereinafter: the </w:t>
      </w:r>
      <w:r w:rsidR="005F66B2">
        <w:rPr>
          <w:rFonts w:ascii="Arial" w:hAnsi="Arial" w:cs="Arial"/>
          <w:lang w:val="en-US"/>
        </w:rPr>
        <w:t xml:space="preserve">PPP Program </w:t>
      </w:r>
      <w:r w:rsidR="001A2913">
        <w:rPr>
          <w:rFonts w:ascii="Arial" w:hAnsi="Arial" w:cs="Arial"/>
          <w:lang w:val="en-US"/>
        </w:rPr>
        <w:t>BRAINS</w:t>
      </w:r>
      <w:r w:rsidRPr="00973DC3">
        <w:rPr>
          <w:rFonts w:ascii="Arial" w:hAnsi="Arial" w:cs="Arial"/>
          <w:lang w:val="en-US"/>
        </w:rPr>
        <w:t xml:space="preserve">) and subsequently the </w:t>
      </w:r>
      <w:r w:rsidR="005F66B2">
        <w:rPr>
          <w:rFonts w:ascii="Arial" w:hAnsi="Arial" w:cs="Arial"/>
          <w:lang w:val="en-US"/>
        </w:rPr>
        <w:t>PPP Program BRAINS</w:t>
      </w:r>
      <w:r w:rsidRPr="00973DC3">
        <w:rPr>
          <w:rFonts w:ascii="Arial" w:hAnsi="Arial" w:cs="Arial"/>
          <w:lang w:val="en-US"/>
        </w:rPr>
        <w:t xml:space="preserve"> Partners (as defined) the opportunity to award PPP Subsidy to projects within the context of the </w:t>
      </w:r>
      <w:r w:rsidR="005F66B2">
        <w:rPr>
          <w:rFonts w:ascii="Arial" w:hAnsi="Arial" w:cs="Arial"/>
          <w:lang w:val="en-US"/>
        </w:rPr>
        <w:t>PPP Program BRAINS</w:t>
      </w:r>
      <w:r w:rsidRPr="00973DC3">
        <w:rPr>
          <w:rFonts w:ascii="Arial" w:hAnsi="Arial" w:cs="Arial"/>
          <w:lang w:val="en-US"/>
        </w:rPr>
        <w:t xml:space="preserve">. The </w:t>
      </w:r>
      <w:r w:rsidR="005F66B2">
        <w:rPr>
          <w:rFonts w:ascii="Arial" w:hAnsi="Arial" w:cs="Arial"/>
          <w:lang w:val="en-US"/>
        </w:rPr>
        <w:t>PPP Program BRAINS</w:t>
      </w:r>
      <w:r w:rsidRPr="00973DC3">
        <w:rPr>
          <w:rFonts w:ascii="Arial" w:hAnsi="Arial" w:cs="Arial"/>
          <w:lang w:val="en-US"/>
        </w:rPr>
        <w:t xml:space="preserve">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7E32468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 xml:space="preserve">within the scope of the </w:t>
      </w:r>
      <w:r w:rsidR="005F66B2">
        <w:rPr>
          <w:rFonts w:ascii="Arial" w:hAnsi="Arial" w:cs="Arial"/>
          <w:lang w:val="en-US"/>
        </w:rPr>
        <w:t>PPP Program BRAINS</w:t>
      </w:r>
      <w:r w:rsidR="009D1579" w:rsidRPr="009D1579">
        <w:rPr>
          <w:rFonts w:ascii="Arial" w:hAnsi="Arial" w:cs="Arial"/>
          <w:lang w:val="en-US"/>
        </w:rPr>
        <w:t xml:space="preserve">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69C982C3"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w:t>
      </w:r>
      <w:r w:rsidR="005F66B2">
        <w:rPr>
          <w:rFonts w:ascii="Arial" w:hAnsi="Arial" w:cs="Arial"/>
          <w:lang w:val="en-GB"/>
        </w:rPr>
        <w:t>PPP Program BRAINS</w:t>
      </w:r>
      <w:r>
        <w:rPr>
          <w:rFonts w:ascii="Arial" w:hAnsi="Arial" w:cs="Arial"/>
          <w:lang w:val="en-GB"/>
        </w:rPr>
        <w:t xml:space="preserve">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63A82B8A" w14:textId="77777777" w:rsidR="00374D3A" w:rsidRPr="00374D3A" w:rsidRDefault="00374D3A" w:rsidP="00374D3A">
      <w:pPr>
        <w:pStyle w:val="ListParagraph"/>
        <w:rPr>
          <w:rFonts w:ascii="Arial" w:hAnsi="Arial" w:cs="Arial"/>
          <w:lang w:val="en-GB"/>
        </w:rPr>
      </w:pPr>
    </w:p>
    <w:p w14:paraId="15F7EF68" w14:textId="77777777" w:rsidR="00374D3A" w:rsidRDefault="00374D3A" w:rsidP="00374D3A">
      <w:pPr>
        <w:pStyle w:val="ListParagraph"/>
        <w:spacing w:before="120" w:after="120" w:line="276" w:lineRule="auto"/>
        <w:jc w:val="both"/>
        <w:rPr>
          <w:rFonts w:ascii="Arial" w:hAnsi="Arial" w:cs="Arial"/>
          <w:lang w:val="en-GB"/>
        </w:rPr>
      </w:pPr>
    </w:p>
    <w:p w14:paraId="21DEEA99" w14:textId="72AA5046"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w:t>
      </w:r>
      <w:r w:rsidR="005F66B2">
        <w:rPr>
          <w:rFonts w:ascii="Arial" w:hAnsi="Arial" w:cs="Arial"/>
          <w:lang w:val="en-GB"/>
        </w:rPr>
        <w:t>PPP Program BRAINS</w:t>
      </w:r>
      <w:r>
        <w:rPr>
          <w:rFonts w:ascii="Arial" w:hAnsi="Arial" w:cs="Arial"/>
          <w:lang w:val="en-GB"/>
        </w:rPr>
        <w:t>, or by extension, Stichting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0AD67AAE"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 xml:space="preserve">the </w:t>
      </w:r>
      <w:r w:rsidR="005F66B2">
        <w:rPr>
          <w:rFonts w:ascii="Arial" w:hAnsi="Arial" w:cs="Arial"/>
          <w:color w:val="000000"/>
          <w:lang w:val="en-GB"/>
        </w:rPr>
        <w:t>PPP Program BRAINS</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1927747A"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 xml:space="preserve">means the Grant Letter (to be) signed by the authorized representatives of: (i) the Main Project Applicant and (ii) the </w:t>
      </w:r>
      <w:r w:rsidR="005F66B2">
        <w:rPr>
          <w:rFonts w:ascii="Arial" w:hAnsi="Arial" w:cs="Arial"/>
          <w:color w:val="000000"/>
          <w:lang w:val="en-GB"/>
        </w:rPr>
        <w:t>PPP Program BRAINS</w:t>
      </w:r>
      <w:r w:rsidRPr="000F687C">
        <w:rPr>
          <w:rFonts w:ascii="Arial" w:hAnsi="Arial" w:cs="Arial"/>
          <w:color w:val="000000"/>
          <w:lang w:val="en-GB"/>
        </w:rPr>
        <w:t xml:space="preserve"> Lead Partner, in which the </w:t>
      </w:r>
      <w:r w:rsidR="005F66B2">
        <w:rPr>
          <w:rFonts w:ascii="Arial" w:hAnsi="Arial" w:cs="Arial"/>
          <w:color w:val="000000"/>
          <w:lang w:val="en-GB"/>
        </w:rPr>
        <w:t>PPP Program BRAINS</w:t>
      </w:r>
      <w:r w:rsidRPr="000F687C">
        <w:rPr>
          <w:rFonts w:ascii="Arial" w:hAnsi="Arial" w:cs="Arial"/>
          <w:color w:val="000000"/>
          <w:lang w:val="en-GB"/>
        </w:rPr>
        <w:t xml:space="preserve">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284F1BE1" w:rsidR="0088499F"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005F66B2">
        <w:rPr>
          <w:rFonts w:ascii="Arial" w:hAnsi="Arial" w:cs="Arial"/>
          <w:b/>
          <w:bCs/>
          <w:color w:val="000000"/>
          <w:lang w:val="en-GB"/>
        </w:rPr>
        <w:t>PPP Program BRAINS</w:t>
      </w:r>
      <w:r>
        <w:rPr>
          <w:rFonts w:ascii="Arial" w:hAnsi="Arial" w:cs="Arial"/>
          <w:b/>
          <w:bCs/>
          <w:color w:val="000000"/>
          <w:lang w:val="en-GB"/>
        </w:rPr>
        <w:t xml:space="preserve">” </w:t>
      </w:r>
      <w:r w:rsidRPr="008A21B7">
        <w:rPr>
          <w:rFonts w:ascii="Arial" w:hAnsi="Arial" w:cs="Arial"/>
          <w:color w:val="000000"/>
          <w:lang w:val="en-GB"/>
        </w:rPr>
        <w:t xml:space="preserve">means </w:t>
      </w:r>
      <w:r w:rsidR="005F66B2">
        <w:rPr>
          <w:rFonts w:ascii="Arial" w:hAnsi="Arial" w:cs="Arial"/>
          <w:color w:val="000000"/>
          <w:lang w:val="en-GB"/>
        </w:rPr>
        <w:t>PPP Program BRAINS</w:t>
      </w:r>
      <w:r w:rsidR="00697870">
        <w:rPr>
          <w:rFonts w:ascii="Arial" w:hAnsi="Arial" w:cs="Arial"/>
          <w:color w:val="000000"/>
          <w:lang w:val="en-GB"/>
        </w:rPr>
        <w:t>, which aims to develop solutions for people living with neurological disorders. The BRAINS program finances</w:t>
      </w:r>
      <w:r w:rsidR="002501DA">
        <w:rPr>
          <w:rFonts w:ascii="Arial" w:hAnsi="Arial" w:cs="Arial"/>
          <w:color w:val="000000"/>
          <w:lang w:val="en-GB"/>
        </w:rPr>
        <w:t xml:space="preserve"> interdi</w:t>
      </w:r>
      <w:r w:rsidR="00697870" w:rsidRPr="00697870">
        <w:rPr>
          <w:rFonts w:ascii="Arial" w:hAnsi="Arial" w:cs="Arial"/>
          <w:color w:val="000000"/>
          <w:lang w:val="en-GB"/>
        </w:rPr>
        <w:t>sciplinary public-private projects focusing on cross-disease solutions within the three themes of the BRAINS program</w:t>
      </w:r>
      <w:r w:rsidR="00CF0060">
        <w:rPr>
          <w:rFonts w:ascii="Arial" w:hAnsi="Arial" w:cs="Arial"/>
          <w:color w:val="000000"/>
          <w:lang w:val="en-GB"/>
        </w:rPr>
        <w:t xml:space="preserve">: (i) </w:t>
      </w:r>
      <w:r w:rsidR="00CF0060" w:rsidRPr="00CF0060">
        <w:rPr>
          <w:rFonts w:ascii="Arial" w:hAnsi="Arial" w:cs="Arial"/>
          <w:color w:val="000000"/>
          <w:lang w:val="en-GB"/>
        </w:rPr>
        <w:t>Blood-Brain Barrier (BBB)</w:t>
      </w:r>
      <w:r w:rsidR="00CF0060">
        <w:rPr>
          <w:rFonts w:ascii="Arial" w:hAnsi="Arial" w:cs="Arial"/>
          <w:color w:val="000000"/>
          <w:lang w:val="en-GB"/>
        </w:rPr>
        <w:t xml:space="preserve">, (ii) Connected Neuro-Tech, and (iii) Human-relevant brain models. </w:t>
      </w:r>
    </w:p>
    <w:p w14:paraId="79984B14" w14:textId="6256ED7F" w:rsidR="0088499F" w:rsidRPr="00374D3A" w:rsidRDefault="0088499F" w:rsidP="000E6CBF">
      <w:pPr>
        <w:pStyle w:val="ListParagraph"/>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w:t>
      </w:r>
      <w:r w:rsidR="005F66B2">
        <w:rPr>
          <w:rFonts w:ascii="Arial" w:hAnsi="Arial" w:cs="Arial"/>
          <w:b/>
          <w:bCs/>
          <w:color w:val="000000" w:themeColor="text1"/>
        </w:rPr>
        <w:t>PPP Program BRAINS</w:t>
      </w:r>
      <w:r w:rsidRPr="38F9C711">
        <w:rPr>
          <w:rFonts w:ascii="Arial" w:hAnsi="Arial" w:cs="Arial"/>
          <w:b/>
          <w:bCs/>
          <w:color w:val="000000" w:themeColor="text1"/>
        </w:rPr>
        <w:t xml:space="preserve"> Partners” </w:t>
      </w:r>
      <w:r w:rsidRPr="38F9C711">
        <w:rPr>
          <w:rFonts w:ascii="Arial" w:hAnsi="Arial" w:cs="Arial"/>
          <w:color w:val="000000" w:themeColor="text1"/>
        </w:rPr>
        <w:t xml:space="preserve">means the partners of the </w:t>
      </w:r>
      <w:r w:rsidR="005F66B2">
        <w:rPr>
          <w:rFonts w:ascii="Arial" w:hAnsi="Arial" w:cs="Arial"/>
          <w:color w:val="000000" w:themeColor="text1"/>
        </w:rPr>
        <w:t>PPP Program BRAINS</w:t>
      </w:r>
      <w:r w:rsidRPr="38F9C711">
        <w:rPr>
          <w:rFonts w:ascii="Arial" w:hAnsi="Arial" w:cs="Arial"/>
          <w:color w:val="000000" w:themeColor="text1"/>
        </w:rPr>
        <w:t xml:space="preserve"> </w:t>
      </w:r>
      <w:r w:rsidRPr="00374D3A">
        <w:rPr>
          <w:rFonts w:ascii="Arial" w:hAnsi="Arial" w:cs="Arial"/>
          <w:color w:val="000000" w:themeColor="text1"/>
        </w:rPr>
        <w:t xml:space="preserve">who have been given the opportunity by Stichting LSH-TKI to award PPP Subsidy to projects within the context of the </w:t>
      </w:r>
      <w:r w:rsidR="005F66B2" w:rsidRPr="00374D3A">
        <w:rPr>
          <w:rFonts w:ascii="Arial" w:hAnsi="Arial" w:cs="Arial"/>
          <w:color w:val="000000" w:themeColor="text1"/>
        </w:rPr>
        <w:t>PPP Program BRAINS</w:t>
      </w:r>
      <w:r w:rsidRPr="00374D3A">
        <w:rPr>
          <w:rFonts w:ascii="Arial" w:hAnsi="Arial" w:cs="Arial"/>
          <w:color w:val="000000" w:themeColor="text1"/>
        </w:rPr>
        <w:t xml:space="preserve">. For clarity, in the Grant Letter the </w:t>
      </w:r>
      <w:r w:rsidR="005F66B2" w:rsidRPr="00374D3A">
        <w:rPr>
          <w:rFonts w:ascii="Arial" w:hAnsi="Arial" w:cs="Arial"/>
          <w:color w:val="000000" w:themeColor="text1"/>
        </w:rPr>
        <w:t>PPP Program BRAINS</w:t>
      </w:r>
      <w:r w:rsidRPr="00374D3A">
        <w:rPr>
          <w:rFonts w:ascii="Arial" w:hAnsi="Arial" w:cs="Arial"/>
          <w:color w:val="000000" w:themeColor="text1"/>
        </w:rPr>
        <w:t xml:space="preserve"> Partners are referred to as ‘</w:t>
      </w:r>
      <w:r w:rsidRPr="00374D3A">
        <w:rPr>
          <w:rFonts w:ascii="Arial" w:hAnsi="Arial" w:cs="Arial"/>
          <w:i/>
          <w:iCs/>
          <w:color w:val="000000" w:themeColor="text1"/>
        </w:rPr>
        <w:t>Programmagroep</w:t>
      </w:r>
      <w:r w:rsidRPr="00374D3A">
        <w:rPr>
          <w:rFonts w:ascii="Arial" w:hAnsi="Arial" w:cs="Arial"/>
          <w:color w:val="000000" w:themeColor="text1"/>
        </w:rPr>
        <w:t>’</w:t>
      </w:r>
      <w:r w:rsidR="000E6CBF">
        <w:rPr>
          <w:rFonts w:ascii="Arial" w:hAnsi="Arial" w:cs="Arial"/>
          <w:color w:val="000000" w:themeColor="text1"/>
        </w:rPr>
        <w:t xml:space="preserve">, which consists of </w:t>
      </w:r>
      <w:r w:rsidR="001E7CC1">
        <w:rPr>
          <w:rFonts w:ascii="Arial" w:hAnsi="Arial" w:cs="Arial"/>
          <w:color w:val="000000" w:themeColor="text1"/>
        </w:rPr>
        <w:t xml:space="preserve">a) </w:t>
      </w:r>
      <w:r w:rsidR="00C543B6" w:rsidRPr="00C543B6">
        <w:rPr>
          <w:rFonts w:ascii="Arial" w:hAnsi="Arial" w:cs="Arial"/>
          <w:color w:val="000000" w:themeColor="text1"/>
        </w:rPr>
        <w:t>Hersenstichting Nederland, also acting under its trade name Hersenstichting or Brain Foundation Netherlands, having its statutory seat in The Hague, the Netherlands, and its offices at Maanplein 20, 2516 CK, The Hague, and registered with the Dutch Chamber of Commerce under number 41155766;</w:t>
      </w:r>
      <w:r w:rsidR="00C543B6">
        <w:rPr>
          <w:rFonts w:ascii="Arial" w:hAnsi="Arial" w:cs="Arial"/>
          <w:color w:val="000000" w:themeColor="text1"/>
        </w:rPr>
        <w:t xml:space="preserve"> b) </w:t>
      </w:r>
      <w:r w:rsidR="00B24199" w:rsidRPr="00B24199">
        <w:rPr>
          <w:rFonts w:ascii="Arial" w:hAnsi="Arial" w:cs="Arial"/>
          <w:color w:val="000000" w:themeColor="text1"/>
        </w:rPr>
        <w:t xml:space="preserve">Stichting </w:t>
      </w:r>
      <w:r w:rsidR="00C543B6">
        <w:rPr>
          <w:rFonts w:ascii="Arial" w:hAnsi="Arial" w:cs="Arial"/>
          <w:color w:val="000000" w:themeColor="text1"/>
        </w:rPr>
        <w:t>EpilepsieNL</w:t>
      </w:r>
      <w:r w:rsidR="00FE7D33">
        <w:rPr>
          <w:rFonts w:ascii="Arial" w:hAnsi="Arial" w:cs="Arial"/>
          <w:color w:val="000000" w:themeColor="text1"/>
        </w:rPr>
        <w:t xml:space="preserve">, also acting under its trade name </w:t>
      </w:r>
      <w:r w:rsidR="00B24199" w:rsidRPr="00B24199">
        <w:rPr>
          <w:rFonts w:ascii="Arial" w:hAnsi="Arial" w:cs="Arial"/>
          <w:color w:val="000000" w:themeColor="text1"/>
        </w:rPr>
        <w:t xml:space="preserve">EpilepsieNL, having its offices at De Molen 35 in Houten and registered at the Dutch Chamber of Commerce under number 40478488; </w:t>
      </w:r>
      <w:r w:rsidR="00477B71">
        <w:rPr>
          <w:rFonts w:ascii="Arial" w:hAnsi="Arial" w:cs="Arial"/>
          <w:color w:val="000000" w:themeColor="text1"/>
        </w:rPr>
        <w:t>c</w:t>
      </w:r>
      <w:r w:rsidR="00B24199" w:rsidRPr="00B24199">
        <w:rPr>
          <w:rFonts w:ascii="Arial" w:hAnsi="Arial" w:cs="Arial"/>
          <w:color w:val="000000" w:themeColor="text1"/>
        </w:rPr>
        <w:t>) Stichting Alzheimer Nederland,</w:t>
      </w:r>
      <w:r w:rsidR="00477B71">
        <w:rPr>
          <w:rFonts w:ascii="Arial" w:hAnsi="Arial" w:cs="Arial"/>
          <w:color w:val="000000" w:themeColor="text1"/>
        </w:rPr>
        <w:t xml:space="preserve"> also acting under its trade name Alzheimer Nederland</w:t>
      </w:r>
      <w:r w:rsidR="00477B71" w:rsidRPr="00B24199">
        <w:rPr>
          <w:rFonts w:ascii="Arial" w:hAnsi="Arial" w:cs="Arial"/>
          <w:color w:val="000000" w:themeColor="text1"/>
        </w:rPr>
        <w:t xml:space="preserve">, </w:t>
      </w:r>
      <w:r w:rsidR="00B24199" w:rsidRPr="00B24199">
        <w:rPr>
          <w:rFonts w:ascii="Arial" w:hAnsi="Arial" w:cs="Arial"/>
          <w:color w:val="000000" w:themeColor="text1"/>
        </w:rPr>
        <w:t xml:space="preserve"> having its offices at Stationsplein 12, Amersfoort and registered at the Dutch Chamber of Commerce under number 41181369; </w:t>
      </w:r>
      <w:r w:rsidR="00860392">
        <w:rPr>
          <w:rFonts w:ascii="Arial" w:hAnsi="Arial" w:cs="Arial"/>
          <w:color w:val="000000" w:themeColor="text1"/>
        </w:rPr>
        <w:t>d</w:t>
      </w:r>
      <w:r w:rsidR="00B24199" w:rsidRPr="00B24199">
        <w:rPr>
          <w:rFonts w:ascii="Arial" w:hAnsi="Arial" w:cs="Arial"/>
          <w:color w:val="000000" w:themeColor="text1"/>
        </w:rPr>
        <w:t>) Stichting MS Research,</w:t>
      </w:r>
      <w:r w:rsidR="00860392">
        <w:rPr>
          <w:rFonts w:ascii="Arial" w:hAnsi="Arial" w:cs="Arial"/>
          <w:color w:val="000000" w:themeColor="text1"/>
        </w:rPr>
        <w:t xml:space="preserve"> also acting under its trade name Stichting MS Research</w:t>
      </w:r>
      <w:r w:rsidR="00860392" w:rsidRPr="00B24199">
        <w:rPr>
          <w:rFonts w:ascii="Arial" w:hAnsi="Arial" w:cs="Arial"/>
          <w:color w:val="000000" w:themeColor="text1"/>
        </w:rPr>
        <w:t xml:space="preserve">, </w:t>
      </w:r>
      <w:r w:rsidR="00B24199" w:rsidRPr="00B24199">
        <w:rPr>
          <w:rFonts w:ascii="Arial" w:hAnsi="Arial" w:cs="Arial"/>
          <w:color w:val="000000" w:themeColor="text1"/>
        </w:rPr>
        <w:t xml:space="preserve"> having its offices at Schoolstraat 174 te Voorschoten and registered at the Dutch </w:t>
      </w:r>
      <w:r w:rsidR="00B24199" w:rsidRPr="00B24199">
        <w:rPr>
          <w:rFonts w:ascii="Arial" w:hAnsi="Arial" w:cs="Arial"/>
          <w:color w:val="000000" w:themeColor="text1"/>
        </w:rPr>
        <w:lastRenderedPageBreak/>
        <w:t xml:space="preserve">Chamber of Commerce under number 41201360; </w:t>
      </w:r>
      <w:r w:rsidR="00860392">
        <w:rPr>
          <w:rFonts w:ascii="Arial" w:hAnsi="Arial" w:cs="Arial"/>
          <w:color w:val="000000" w:themeColor="text1"/>
        </w:rPr>
        <w:t>d</w:t>
      </w:r>
      <w:r w:rsidR="00B24199" w:rsidRPr="00B24199">
        <w:rPr>
          <w:rFonts w:ascii="Arial" w:hAnsi="Arial" w:cs="Arial"/>
          <w:color w:val="000000" w:themeColor="text1"/>
        </w:rPr>
        <w:t>) Stichting ParkinsonN</w:t>
      </w:r>
      <w:r w:rsidR="00860392">
        <w:rPr>
          <w:rFonts w:ascii="Arial" w:hAnsi="Arial" w:cs="Arial"/>
          <w:color w:val="000000" w:themeColor="text1"/>
        </w:rPr>
        <w:t>ederland, also acting under its trade name ParkinsonNederland</w:t>
      </w:r>
      <w:r w:rsidR="00F3359D">
        <w:rPr>
          <w:rFonts w:ascii="Arial" w:hAnsi="Arial" w:cs="Arial"/>
          <w:color w:val="000000" w:themeColor="text1"/>
        </w:rPr>
        <w:t xml:space="preserve"> (previously ParkinsonNL)</w:t>
      </w:r>
      <w:r w:rsidR="00860392" w:rsidRPr="00B24199">
        <w:rPr>
          <w:rFonts w:ascii="Arial" w:hAnsi="Arial" w:cs="Arial"/>
          <w:color w:val="000000" w:themeColor="text1"/>
        </w:rPr>
        <w:t xml:space="preserve">, </w:t>
      </w:r>
      <w:r w:rsidR="00B24199" w:rsidRPr="00B24199">
        <w:rPr>
          <w:rFonts w:ascii="Arial" w:hAnsi="Arial" w:cs="Arial"/>
          <w:color w:val="000000" w:themeColor="text1"/>
        </w:rPr>
        <w:t>having its offices at Stationsplein 123, 3818 LE in Amersfoort and registered at the Dutch Chamber of Commerce under number 27254751</w:t>
      </w:r>
      <w:r w:rsidR="00ED3ADA">
        <w:rPr>
          <w:rFonts w:ascii="Arial" w:hAnsi="Arial" w:cs="Arial"/>
          <w:color w:val="000000" w:themeColor="text1"/>
        </w:rPr>
        <w:t>;</w:t>
      </w:r>
      <w:r w:rsidR="00B24199" w:rsidRPr="00B24199">
        <w:rPr>
          <w:rFonts w:ascii="Arial" w:hAnsi="Arial" w:cs="Arial"/>
          <w:color w:val="000000" w:themeColor="text1"/>
        </w:rPr>
        <w:t xml:space="preserve"> </w:t>
      </w:r>
      <w:r w:rsidR="00F3359D">
        <w:rPr>
          <w:rFonts w:ascii="Arial" w:hAnsi="Arial" w:cs="Arial"/>
          <w:color w:val="000000" w:themeColor="text1"/>
        </w:rPr>
        <w:t>f</w:t>
      </w:r>
      <w:r w:rsidR="00B24199" w:rsidRPr="00B24199">
        <w:rPr>
          <w:rFonts w:ascii="Arial" w:hAnsi="Arial" w:cs="Arial"/>
          <w:color w:val="000000" w:themeColor="text1"/>
        </w:rPr>
        <w:t>)</w:t>
      </w:r>
      <w:r w:rsidR="00F3359D">
        <w:rPr>
          <w:rFonts w:ascii="Arial" w:hAnsi="Arial" w:cs="Arial"/>
          <w:color w:val="000000" w:themeColor="text1"/>
        </w:rPr>
        <w:t xml:space="preserve"> Biotech Booster</w:t>
      </w:r>
      <w:r w:rsidR="00506D53">
        <w:rPr>
          <w:rFonts w:ascii="Arial" w:hAnsi="Arial" w:cs="Arial"/>
          <w:color w:val="000000" w:themeColor="text1"/>
        </w:rPr>
        <w:t xml:space="preserve"> B.V.</w:t>
      </w:r>
      <w:r w:rsidR="00ED3ADA">
        <w:rPr>
          <w:rFonts w:ascii="Arial" w:hAnsi="Arial" w:cs="Arial"/>
          <w:color w:val="000000" w:themeColor="text1"/>
        </w:rPr>
        <w:t xml:space="preserve">, </w:t>
      </w:r>
      <w:r w:rsidR="00E67226">
        <w:rPr>
          <w:rFonts w:ascii="Arial" w:hAnsi="Arial" w:cs="Arial"/>
          <w:color w:val="000000" w:themeColor="text1"/>
        </w:rPr>
        <w:t>also acting under its trade name Biotech Booster</w:t>
      </w:r>
      <w:r w:rsidR="00506D53">
        <w:rPr>
          <w:rFonts w:ascii="Arial" w:hAnsi="Arial" w:cs="Arial"/>
          <w:color w:val="000000" w:themeColor="text1"/>
        </w:rPr>
        <w:t>, having its offices at</w:t>
      </w:r>
      <w:r w:rsidR="00D06C90">
        <w:rPr>
          <w:rFonts w:ascii="Arial" w:hAnsi="Arial" w:cs="Arial"/>
          <w:color w:val="000000" w:themeColor="text1"/>
        </w:rPr>
        <w:t xml:space="preserve"> </w:t>
      </w:r>
      <w:r w:rsidR="00D06C90" w:rsidRPr="00D06C90">
        <w:rPr>
          <w:rFonts w:ascii="Arial" w:hAnsi="Arial" w:cs="Arial"/>
          <w:color w:val="000000" w:themeColor="text1"/>
        </w:rPr>
        <w:t xml:space="preserve">Beatrixgebouw, 5th floor (HI-FIVE), Jaarbeursplein 6, 3521AL </w:t>
      </w:r>
      <w:r w:rsidR="00D06C90">
        <w:rPr>
          <w:rFonts w:ascii="Arial" w:hAnsi="Arial" w:cs="Arial"/>
          <w:color w:val="000000" w:themeColor="text1"/>
        </w:rPr>
        <w:t xml:space="preserve">in </w:t>
      </w:r>
      <w:r w:rsidR="00D06C90" w:rsidRPr="00D06C90">
        <w:rPr>
          <w:rFonts w:ascii="Arial" w:hAnsi="Arial" w:cs="Arial"/>
          <w:color w:val="000000" w:themeColor="text1"/>
        </w:rPr>
        <w:t>Utrecht</w:t>
      </w:r>
      <w:r w:rsidR="00D06C90">
        <w:rPr>
          <w:rFonts w:ascii="Arial" w:hAnsi="Arial" w:cs="Arial"/>
          <w:color w:val="000000" w:themeColor="text1"/>
        </w:rPr>
        <w:t xml:space="preserve"> and registered at the Dutch Chamber of Commerce under number</w:t>
      </w:r>
      <w:r w:rsidR="00393652">
        <w:rPr>
          <w:rFonts w:ascii="Arial" w:hAnsi="Arial" w:cs="Arial"/>
          <w:color w:val="000000" w:themeColor="text1"/>
        </w:rPr>
        <w:t xml:space="preserve"> </w:t>
      </w:r>
      <w:r w:rsidR="00393652" w:rsidRPr="00393652">
        <w:rPr>
          <w:rFonts w:ascii="Arial" w:hAnsi="Arial" w:cs="Arial"/>
          <w:color w:val="000000" w:themeColor="text1"/>
        </w:rPr>
        <w:t>92280005</w:t>
      </w:r>
      <w:r w:rsidR="00ED3ADA">
        <w:rPr>
          <w:rFonts w:ascii="Arial" w:hAnsi="Arial" w:cs="Arial"/>
          <w:color w:val="000000" w:themeColor="text1"/>
        </w:rPr>
        <w:t>; and g) EATRIS ERIC</w:t>
      </w:r>
      <w:r w:rsidR="00E67226">
        <w:rPr>
          <w:rFonts w:ascii="Arial" w:hAnsi="Arial" w:cs="Arial"/>
          <w:color w:val="000000" w:themeColor="text1"/>
        </w:rPr>
        <w:t xml:space="preserve">, also acting under its trade name EATRIS, having its </w:t>
      </w:r>
      <w:r w:rsidR="001C6A68">
        <w:rPr>
          <w:rFonts w:ascii="Arial" w:hAnsi="Arial" w:cs="Arial"/>
          <w:color w:val="000000" w:themeColor="text1"/>
        </w:rPr>
        <w:t xml:space="preserve">offices at </w:t>
      </w:r>
      <w:r w:rsidR="00F12E63" w:rsidRPr="00F12E63">
        <w:rPr>
          <w:rFonts w:ascii="Arial" w:hAnsi="Arial" w:cs="Arial"/>
          <w:color w:val="000000" w:themeColor="text1"/>
        </w:rPr>
        <w:t xml:space="preserve">De Boelelaan 1118, 1081 HZ </w:t>
      </w:r>
      <w:r w:rsidR="00F12E63">
        <w:rPr>
          <w:rFonts w:ascii="Arial" w:hAnsi="Arial" w:cs="Arial"/>
          <w:color w:val="000000" w:themeColor="text1"/>
        </w:rPr>
        <w:t xml:space="preserve">in </w:t>
      </w:r>
      <w:r w:rsidR="00F12E63" w:rsidRPr="00F12E63">
        <w:rPr>
          <w:rFonts w:ascii="Arial" w:hAnsi="Arial" w:cs="Arial"/>
          <w:color w:val="000000" w:themeColor="text1"/>
        </w:rPr>
        <w:t>Amsterdam</w:t>
      </w:r>
      <w:r w:rsidR="00F12E63">
        <w:rPr>
          <w:rFonts w:ascii="Arial" w:hAnsi="Arial" w:cs="Arial"/>
          <w:color w:val="000000" w:themeColor="text1"/>
        </w:rPr>
        <w:t xml:space="preserve"> and registered at the Dutch Chamber of Commerce under number </w:t>
      </w:r>
      <w:r w:rsidR="00AD0B85" w:rsidRPr="00AD0B85">
        <w:rPr>
          <w:rFonts w:ascii="Arial" w:hAnsi="Arial" w:cs="Arial"/>
          <w:color w:val="000000" w:themeColor="text1"/>
        </w:rPr>
        <w:t>59239247</w:t>
      </w:r>
      <w:r w:rsidR="00B24199" w:rsidRPr="00B24199">
        <w:rPr>
          <w:rFonts w:ascii="Arial" w:hAnsi="Arial" w:cs="Arial"/>
          <w:color w:val="000000" w:themeColor="text1"/>
        </w:rPr>
        <w:t>.</w:t>
      </w:r>
    </w:p>
    <w:p w14:paraId="62852990" w14:textId="14FC30EB"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005F66B2">
        <w:rPr>
          <w:rFonts w:ascii="Arial" w:hAnsi="Arial" w:cs="Arial"/>
          <w:b/>
          <w:bCs/>
          <w:color w:val="000000"/>
          <w:lang w:val="en-GB"/>
        </w:rPr>
        <w:t>PPP Program BRAINS</w:t>
      </w:r>
      <w:r w:rsidRPr="00F80212">
        <w:rPr>
          <w:rFonts w:ascii="Arial" w:hAnsi="Arial" w:cs="Arial"/>
          <w:b/>
          <w:bCs/>
          <w:color w:val="000000"/>
          <w:lang w:val="en-GB"/>
        </w:rPr>
        <w:t xml:space="preserve">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w:t>
      </w:r>
      <w:r w:rsidR="005F66B2">
        <w:rPr>
          <w:rFonts w:ascii="Arial" w:hAnsi="Arial" w:cs="Arial"/>
          <w:color w:val="000000"/>
          <w:lang w:val="en-GB"/>
        </w:rPr>
        <w:t>PPP Program BRAIN</w:t>
      </w:r>
      <w:r w:rsidR="005F33C1">
        <w:rPr>
          <w:rFonts w:ascii="Arial" w:hAnsi="Arial" w:cs="Arial"/>
          <w:color w:val="000000"/>
          <w:lang w:val="en-GB"/>
        </w:rPr>
        <w:t xml:space="preserve">S, which is </w:t>
      </w:r>
      <w:r w:rsidR="005F33C1" w:rsidRPr="005F33C1">
        <w:rPr>
          <w:rFonts w:ascii="Arial" w:hAnsi="Arial" w:cs="Arial"/>
          <w:color w:val="000000"/>
          <w:lang w:val="en-GB"/>
        </w:rPr>
        <w:t>Hersenstichting Nederland, also acting under its trade name Hersenstichting or Brain Foundation Netherlands, having its statutory seat in The Hague,</w:t>
      </w:r>
      <w:r w:rsidR="005F33C1">
        <w:rPr>
          <w:rFonts w:ascii="Arial" w:hAnsi="Arial" w:cs="Arial"/>
          <w:color w:val="000000"/>
          <w:lang w:val="en-GB"/>
        </w:rPr>
        <w:t xml:space="preserve"> the Netherlands, and </w:t>
      </w:r>
      <w:r w:rsidR="005F33C1" w:rsidRPr="005F33C1">
        <w:rPr>
          <w:rFonts w:ascii="Arial" w:hAnsi="Arial" w:cs="Arial"/>
          <w:color w:val="000000"/>
          <w:lang w:val="en-GB"/>
        </w:rPr>
        <w:t>its offices at Maanplein 20, 2516 CK, The Hague, and registered with the Dutch Chamber of Commerce under number 41155766;</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29ED7260"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he Stichting Life Sciences and Health, also acting under its trade name Health</w:t>
      </w:r>
      <w:r w:rsidR="00773E97">
        <w:rPr>
          <w:rFonts w:ascii="Arial" w:hAnsi="Arial" w:cs="Arial"/>
          <w:lang w:val="en-GB"/>
        </w:rPr>
        <w:t xml:space="preserve"> </w:t>
      </w:r>
      <w:r w:rsidRPr="002B06C8">
        <w:rPr>
          <w:rFonts w:ascii="Arial" w:hAnsi="Arial" w:cs="Arial"/>
          <w:lang w:val="en-GB"/>
        </w:rPr>
        <w:t xml:space="preserve">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15499FE6"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w:t>
      </w:r>
      <w:r w:rsidR="005F66B2">
        <w:rPr>
          <w:rFonts w:ascii="Arial" w:hAnsi="Arial" w:cs="Arial"/>
          <w:color w:val="000000" w:themeColor="text1"/>
          <w:lang w:val="en-GB"/>
        </w:rPr>
        <w:t>PPP Program BRAINS</w:t>
      </w:r>
      <w:r w:rsidRPr="699ECE57">
        <w:rPr>
          <w:rFonts w:ascii="Arial" w:hAnsi="Arial" w:cs="Arial"/>
          <w:color w:val="000000" w:themeColor="text1"/>
          <w:lang w:val="en-GB"/>
        </w:rPr>
        <w:t>, and by extension Stichting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4487F7EC"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lastRenderedPageBreak/>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5F66B2">
        <w:rPr>
          <w:rFonts w:ascii="Arial" w:hAnsi="Arial" w:cs="Arial"/>
          <w:color w:val="000000"/>
          <w:lang w:val="en-GB"/>
        </w:rPr>
        <w:t>PPP Program BRAINS</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B90F2BA"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w:t>
      </w:r>
      <w:r w:rsidR="005F66B2">
        <w:rPr>
          <w:rFonts w:ascii="Arial" w:hAnsi="Arial" w:cs="Arial"/>
          <w:color w:val="000000"/>
          <w:lang w:val="en-GB"/>
        </w:rPr>
        <w:t>PPP Program BRAINS</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 xml:space="preserve">the </w:t>
      </w:r>
      <w:r w:rsidR="005F66B2">
        <w:rPr>
          <w:rFonts w:ascii="Arial" w:hAnsi="Arial" w:cs="Arial"/>
          <w:color w:val="000000"/>
          <w:lang w:val="en-GB"/>
        </w:rPr>
        <w:t>PPP Program BRAINS</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56AA77E7" w14:textId="77777777" w:rsidR="009E3671" w:rsidRPr="009E3671" w:rsidRDefault="00163F9E" w:rsidP="009E3671">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2F95D6C0" w14:textId="3401E7F0" w:rsidR="009E3671" w:rsidRPr="009E3671" w:rsidRDefault="009E3671" w:rsidP="009E3671">
      <w:pPr>
        <w:pStyle w:val="ListParagraph"/>
        <w:spacing w:before="120" w:after="120" w:line="276" w:lineRule="auto"/>
        <w:ind w:left="792" w:right="44"/>
        <w:contextualSpacing w:val="0"/>
        <w:jc w:val="both"/>
        <w:rPr>
          <w:rFonts w:ascii="Arial" w:hAnsi="Arial" w:cs="Arial"/>
          <w:color w:val="000000"/>
          <w:lang w:val="en-GB"/>
        </w:rPr>
      </w:pPr>
      <w:r w:rsidRPr="009E3671">
        <w:rPr>
          <w:rFonts w:ascii="Arial" w:hAnsi="Arial"/>
          <w:color w:val="000000"/>
          <w:lang w:val="en-GB"/>
        </w:rPr>
        <w:t xml:space="preserve">The Project Committee is further entitled to </w:t>
      </w:r>
      <w:r w:rsidRPr="009E3671">
        <w:rPr>
          <w:rFonts w:ascii="Arial" w:hAnsi="Arial" w:cs="Arial"/>
          <w:color w:val="000000"/>
          <w:lang w:val="en-GB"/>
        </w:rPr>
        <w:t xml:space="preserve">declare a Participant a Defaulting Participant in </w:t>
      </w:r>
      <w:r w:rsidRPr="009E3671">
        <w:rPr>
          <w:rFonts w:ascii="Arial" w:hAnsi="Arial" w:cs="Arial"/>
          <w:lang w:val="en-GB"/>
        </w:rPr>
        <w:t>the event that the</w:t>
      </w:r>
      <w:r w:rsidR="009A0563">
        <w:rPr>
          <w:rFonts w:ascii="Arial" w:hAnsi="Arial" w:cs="Arial"/>
          <w:lang w:val="en-GB"/>
        </w:rPr>
        <w:t xml:space="preserve"> </w:t>
      </w:r>
      <w:r w:rsidR="005F66B2">
        <w:rPr>
          <w:rFonts w:ascii="Arial" w:hAnsi="Arial" w:cs="Arial"/>
          <w:lang w:val="en-GB"/>
        </w:rPr>
        <w:t>PPP Program BRAINS</w:t>
      </w:r>
      <w:r w:rsidR="00EE5193">
        <w:rPr>
          <w:rFonts w:ascii="Arial" w:hAnsi="Arial" w:cs="Arial"/>
          <w:lang w:val="en-GB"/>
        </w:rPr>
        <w:t>, or by extension,</w:t>
      </w:r>
      <w:r w:rsidRPr="009E3671">
        <w:rPr>
          <w:rFonts w:ascii="Arial" w:hAnsi="Arial" w:cs="Arial"/>
          <w:lang w:val="en-GB"/>
        </w:rPr>
        <w:t xml:space="preserve"> Stichting LSH-TKI has terminated that Participant’s participation in accordance with </w:t>
      </w:r>
      <w:r w:rsidRPr="00726819">
        <w:rPr>
          <w:rFonts w:ascii="Arial" w:hAnsi="Arial" w:cs="Arial"/>
          <w:highlight w:val="yellow"/>
          <w:lang w:val="en-GB"/>
        </w:rPr>
        <w:t xml:space="preserve">Section </w:t>
      </w:r>
      <w:r w:rsidR="00EE5193" w:rsidRPr="00726819">
        <w:rPr>
          <w:rFonts w:ascii="Arial" w:hAnsi="Arial" w:cs="Arial"/>
          <w:highlight w:val="yellow"/>
          <w:lang w:val="en-GB"/>
        </w:rPr>
        <w:t>10</w:t>
      </w:r>
      <w:r w:rsidR="00EE5193">
        <w:rPr>
          <w:rFonts w:ascii="Arial" w:hAnsi="Arial" w:cs="Arial"/>
          <w:lang w:val="en-GB"/>
        </w:rPr>
        <w:t xml:space="preserve"> </w:t>
      </w:r>
      <w:r w:rsidRPr="009E3671">
        <w:rPr>
          <w:rFonts w:ascii="Arial" w:hAnsi="Arial" w:cs="Arial"/>
          <w:lang w:val="en-GB"/>
        </w:rPr>
        <w:t xml:space="preserve">of the </w:t>
      </w:r>
      <w:r w:rsidR="00B81F4B">
        <w:rPr>
          <w:rFonts w:ascii="Arial" w:hAnsi="Arial" w:cs="Arial"/>
          <w:lang w:val="en-GB"/>
        </w:rPr>
        <w:t>Grant Letter</w:t>
      </w:r>
      <w:r w:rsidRPr="009E3671">
        <w:rPr>
          <w:rFonts w:ascii="Arial" w:hAnsi="Arial" w:cs="Arial"/>
          <w:lang w:val="en-GB"/>
        </w:rPr>
        <w:t>.</w:t>
      </w:r>
    </w:p>
    <w:p w14:paraId="4C13714A" w14:textId="20EDF6FB" w:rsidR="009E3671"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009E3671" w:rsidRPr="001552FC">
        <w:rPr>
          <w:rFonts w:ascii="Arial" w:hAnsi="Arial" w:cs="Arial"/>
          <w:color w:val="000000"/>
          <w:lang w:val="en-GB"/>
        </w:rPr>
        <w:t xml:space="preserve">A non-Defaulting </w:t>
      </w:r>
      <w:r w:rsidR="009E3671">
        <w:rPr>
          <w:rFonts w:ascii="Arial" w:hAnsi="Arial" w:cs="Arial"/>
          <w:color w:val="000000"/>
          <w:lang w:val="en-GB"/>
        </w:rPr>
        <w:t>Participant</w:t>
      </w:r>
      <w:r w:rsidR="009E3671" w:rsidRPr="001552FC">
        <w:rPr>
          <w:rFonts w:ascii="Arial" w:hAnsi="Arial" w:cs="Arial"/>
          <w:color w:val="000000"/>
          <w:lang w:val="en-GB"/>
        </w:rPr>
        <w:t xml:space="preserve"> </w:t>
      </w:r>
      <w:r w:rsidR="009E3671">
        <w:rPr>
          <w:rFonts w:ascii="Arial" w:hAnsi="Arial" w:cs="Arial"/>
          <w:color w:val="000000"/>
          <w:lang w:val="en-GB"/>
        </w:rPr>
        <w:t>may request the Project Committee to terminate its participation in the Project and to this Consortium Agreement. The Project Committee will decide on such request in accordance with Section 6.5 and may, as a condition for approving such request, impose reasonable requirements on the departing Participant, including but not limited to the settlement of outstanding obligations and the transfer of tasks to the remaining Participants.</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 xml:space="preserve">’s participation to the </w:t>
      </w:r>
      <w:r w:rsidRPr="001552FC">
        <w:rPr>
          <w:rFonts w:ascii="Arial" w:hAnsi="Arial" w:cs="Arial"/>
          <w:color w:val="000000"/>
          <w:lang w:val="en-GB"/>
        </w:rPr>
        <w:lastRenderedPageBreak/>
        <w:t>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4F5ADB6A"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5F66B2">
        <w:rPr>
          <w:rFonts w:ascii="Arial" w:hAnsi="Arial" w:cs="Arial"/>
          <w:color w:val="000000"/>
          <w:lang w:val="en-GB"/>
        </w:rPr>
        <w:t>PPP Program BRAINS</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 xml:space="preserve">the </w:t>
      </w:r>
      <w:r w:rsidR="005F66B2">
        <w:rPr>
          <w:rFonts w:ascii="Arial" w:hAnsi="Arial" w:cs="Arial"/>
          <w:color w:val="000000"/>
          <w:lang w:val="en-GB"/>
        </w:rPr>
        <w:t>PPP Program BRAINS</w:t>
      </w:r>
      <w:r w:rsidR="00BB6964" w:rsidRPr="00214AC8">
        <w:rPr>
          <w:rFonts w:ascii="Arial" w:hAnsi="Arial" w:cs="Arial"/>
          <w:color w:val="000000"/>
          <w:lang w:val="en-GB"/>
        </w:rPr>
        <w:t xml:space="preserve">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010CB4C6"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 xml:space="preserve">the </w:t>
      </w:r>
      <w:r w:rsidR="005F66B2">
        <w:rPr>
          <w:rFonts w:ascii="Arial" w:hAnsi="Arial" w:cs="Arial"/>
          <w:color w:val="000000"/>
          <w:lang w:val="en-GB"/>
        </w:rPr>
        <w:t>PPP Program BRAINS</w:t>
      </w:r>
      <w:r w:rsidR="00B179C1" w:rsidRPr="004B1458">
        <w:rPr>
          <w:rFonts w:ascii="Arial" w:hAnsi="Arial" w:cs="Arial"/>
          <w:color w:val="000000"/>
          <w:lang w:val="en-GB"/>
        </w:rPr>
        <w:t xml:space="preserve"> or, by extension,</w:t>
      </w:r>
      <w:r w:rsidRPr="004B1458">
        <w:rPr>
          <w:rFonts w:ascii="Arial" w:hAnsi="Arial" w:cs="Arial"/>
          <w:color w:val="000000"/>
          <w:lang w:val="en-GB"/>
        </w:rPr>
        <w:t xml:space="preserve"> Stichting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w:t>
      </w:r>
      <w:r w:rsidR="005F66B2">
        <w:rPr>
          <w:rFonts w:ascii="Arial" w:hAnsi="Arial" w:cs="Arial"/>
          <w:color w:val="000000"/>
          <w:lang w:val="en-GB"/>
        </w:rPr>
        <w:t>PPP Program BRAINS</w:t>
      </w:r>
      <w:r w:rsidR="001056B2" w:rsidRPr="004B1458">
        <w:rPr>
          <w:rFonts w:ascii="Arial" w:hAnsi="Arial" w:cs="Arial"/>
          <w:color w:val="000000"/>
          <w:lang w:val="en-GB"/>
        </w:rPr>
        <w:t xml:space="preserve"> and/or the Stichting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w:t>
      </w:r>
      <w:r w:rsidR="009E3671">
        <w:rPr>
          <w:rFonts w:ascii="Arial" w:hAnsi="Arial" w:cs="Arial"/>
          <w:color w:val="000000"/>
          <w:lang w:val="en-GB"/>
        </w:rPr>
        <w:t>6</w:t>
      </w:r>
      <w:r w:rsidRPr="007E02CA">
        <w:rPr>
          <w:rFonts w:ascii="Arial" w:hAnsi="Arial" w:cs="Arial"/>
          <w:color w:val="000000"/>
          <w:lang w:val="en-GB"/>
        </w:rPr>
        <w:t xml:space="preserve">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w:t>
      </w:r>
      <w:r w:rsidRPr="001552FC">
        <w:rPr>
          <w:rFonts w:ascii="Arial" w:hAnsi="Arial" w:cs="Arial"/>
          <w:color w:val="000000"/>
          <w:lang w:val="en-GB"/>
        </w:rPr>
        <w:lastRenderedPageBreak/>
        <w:t>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5F7FBD69"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 xml:space="preserve">the </w:t>
      </w:r>
      <w:r w:rsidR="005F66B2">
        <w:rPr>
          <w:rFonts w:ascii="Arial" w:hAnsi="Arial" w:cs="Arial"/>
          <w:color w:val="000000"/>
          <w:lang w:val="en-GB"/>
        </w:rPr>
        <w:t>PPP Program BRAINS</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 xml:space="preserve">Subject to the limitations set out in Section 5.5 and Section 5.6 below, each Participant shall only be liable towards each of the other Participants for damages resulting from or arising out of (i) the gross negligence or wilful misconduct by the Participant (including its </w:t>
      </w:r>
      <w:r w:rsidRPr="00A56030">
        <w:rPr>
          <w:rFonts w:ascii="Arial" w:hAnsi="Arial"/>
          <w:lang w:val="en-GB"/>
        </w:rPr>
        <w:lastRenderedPageBreak/>
        <w:t>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794CD8A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w:t>
      </w:r>
      <w:r w:rsidR="009E3671">
        <w:rPr>
          <w:rFonts w:ascii="Arial" w:hAnsi="Arial"/>
          <w:lang w:val="en-GB"/>
        </w:rPr>
        <w:t xml:space="preserve">an equal amount to </w:t>
      </w:r>
      <w:r w:rsidRPr="000E2AB0">
        <w:rPr>
          <w:rFonts w:ascii="Arial" w:hAnsi="Arial"/>
          <w:lang w:val="en-GB"/>
        </w:rPr>
        <w:t xml:space="preserve">the </w:t>
      </w:r>
      <w:r w:rsidR="00FD2425">
        <w:rPr>
          <w:rFonts w:ascii="Arial" w:hAnsi="Arial"/>
          <w:lang w:val="en-GB"/>
        </w:rPr>
        <w:t>Participant</w:t>
      </w:r>
      <w:r w:rsidRPr="000E2AB0">
        <w:rPr>
          <w:rFonts w:ascii="Arial" w:hAnsi="Arial"/>
          <w:lang w:val="en-GB"/>
        </w:rPr>
        <w:t xml:space="preserve">’s </w:t>
      </w:r>
      <w:r w:rsidR="009E3671">
        <w:rPr>
          <w:rFonts w:ascii="Arial" w:hAnsi="Arial"/>
          <w:lang w:val="en-GB"/>
        </w:rPr>
        <w:t xml:space="preserve">total </w:t>
      </w:r>
      <w:r w:rsidRPr="000E2AB0">
        <w:rPr>
          <w:rFonts w:ascii="Arial" w:hAnsi="Arial"/>
          <w:lang w:val="en-GB"/>
        </w:rPr>
        <w:t>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lastRenderedPageBreak/>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464EA07A" w14:textId="77777777" w:rsidR="009E3671" w:rsidRPr="001552FC" w:rsidRDefault="009E3671" w:rsidP="009E3671">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voluntary </w:t>
      </w: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w:t>
      </w:r>
      <w:r>
        <w:rPr>
          <w:rFonts w:ascii="Arial" w:hAnsi="Arial" w:cs="Arial"/>
          <w:color w:val="000000"/>
          <w:lang w:val="en-GB"/>
        </w:rPr>
        <w:t xml:space="preserve">and the request for termination of the participation of such Participant to this Consortium Agreement, </w:t>
      </w:r>
      <w:r w:rsidRPr="001552FC">
        <w:rPr>
          <w:rFonts w:ascii="Arial" w:hAnsi="Arial" w:cs="Arial"/>
          <w:color w:val="000000"/>
          <w:lang w:val="en-GB"/>
        </w:rPr>
        <w:t>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00FFB5BF" w:rsidR="00163F9E" w:rsidRPr="009E6721" w:rsidRDefault="005F66B2"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 BRAINS</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sidR="004A1E3C">
        <w:rPr>
          <w:rFonts w:ascii="Arial" w:hAnsi="Arial" w:cs="Arial"/>
          <w:color w:val="000000"/>
          <w:lang w:val="en-GB"/>
        </w:rPr>
        <w:t xml:space="preserve">the </w:t>
      </w:r>
      <w:r>
        <w:rPr>
          <w:rFonts w:ascii="Arial" w:hAnsi="Arial" w:cs="Arial"/>
          <w:color w:val="000000"/>
          <w:lang w:val="en-GB"/>
        </w:rPr>
        <w:t>PPP Program BRAINS</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9E3671">
        <w:rPr>
          <w:rFonts w:ascii="Arial" w:hAnsi="Arial" w:cs="Arial"/>
          <w:color w:val="000000"/>
          <w:lang w:val="en-GB"/>
        </w:rPr>
        <w:t xml:space="preserve">6.3 and </w:t>
      </w:r>
      <w:r w:rsidR="00163F9E" w:rsidRPr="009E6721">
        <w:rPr>
          <w:rFonts w:ascii="Arial" w:hAnsi="Arial" w:cs="Arial"/>
          <w:color w:val="000000"/>
          <w:lang w:val="en-GB"/>
        </w:rPr>
        <w:t>6.4.</w:t>
      </w:r>
    </w:p>
    <w:p w14:paraId="2EF9CCDA" w14:textId="6CEC089F"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 xml:space="preserve">the </w:t>
      </w:r>
      <w:r w:rsidR="005F66B2">
        <w:rPr>
          <w:rFonts w:ascii="Arial" w:hAnsi="Arial" w:cs="Arial"/>
        </w:rPr>
        <w:t>PPP Program BRAINS</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3613AA5C"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 xml:space="preserve">the </w:t>
      </w:r>
      <w:r w:rsidR="005F66B2">
        <w:rPr>
          <w:rFonts w:ascii="Arial" w:hAnsi="Arial" w:cs="Arial"/>
          <w:color w:val="000000"/>
          <w:lang w:val="en-GB"/>
        </w:rPr>
        <w:t>PPP Program BRAINS</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B7B4E56"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 xml:space="preserve">the </w:t>
      </w:r>
      <w:r w:rsidR="005F66B2">
        <w:rPr>
          <w:rFonts w:ascii="Arial" w:hAnsi="Arial" w:cs="Arial"/>
          <w:color w:val="000000"/>
          <w:lang w:val="en-GB"/>
        </w:rPr>
        <w:t>PPP Program BRAINS</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3FB3AFDD"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5F66B2">
        <w:rPr>
          <w:rFonts w:ascii="Arial" w:hAnsi="Arial" w:cs="Arial"/>
          <w:color w:val="000000"/>
          <w:lang w:val="en-GB"/>
        </w:rPr>
        <w:t>PPP Program BRAINS</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 xml:space="preserve">the </w:t>
      </w:r>
      <w:r w:rsidR="005F66B2">
        <w:rPr>
          <w:rFonts w:ascii="Arial" w:hAnsi="Arial" w:cs="Arial"/>
          <w:color w:val="000000"/>
          <w:lang w:val="en-GB"/>
        </w:rPr>
        <w:t>PPP Program BRAINS</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 xml:space="preserve">the </w:t>
      </w:r>
      <w:r w:rsidR="005F66B2">
        <w:rPr>
          <w:rFonts w:ascii="Arial" w:hAnsi="Arial" w:cs="Arial"/>
          <w:color w:val="000000"/>
          <w:lang w:val="en-GB"/>
        </w:rPr>
        <w:t>PPP Program BRAINS</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B6E807B"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5F66B2">
        <w:rPr>
          <w:rFonts w:ascii="Arial" w:hAnsi="Arial" w:cs="Arial"/>
          <w:lang w:val="en-GB"/>
        </w:rPr>
        <w:t>PPP Program BRAINS</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lastRenderedPageBreak/>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9E3671">
        <w:rPr>
          <w:rStyle w:val="CommentReference"/>
          <w:rFonts w:ascii="Arial" w:hAnsi="Arial" w:cs="Arial"/>
          <w:bCs/>
          <w:sz w:val="20"/>
          <w:szCs w:val="20"/>
          <w:lang w:val="en-GB"/>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(i)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lastRenderedPageBreak/>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(i),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215ED2D9"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w:t>
      </w:r>
      <w:r w:rsidR="009E3671">
        <w:rPr>
          <w:rFonts w:ascii="Arial" w:hAnsi="Arial" w:cs="Arial"/>
          <w:bCs/>
          <w:lang w:val="en-GB"/>
        </w:rPr>
        <w:t>may</w:t>
      </w:r>
      <w:r>
        <w:rPr>
          <w:rFonts w:ascii="Arial" w:hAnsi="Arial" w:cs="Arial"/>
          <w:bCs/>
          <w:lang w:val="en-GB"/>
        </w:rPr>
        <w:t xml:space="preserve"> exercise the Option Right jointly, unless otherwise agreed between them. </w:t>
      </w:r>
    </w:p>
    <w:p w14:paraId="1AFCE199" w14:textId="1B20AD77"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during the course of the Project and until </w:t>
      </w:r>
      <w:r w:rsidR="009E3671">
        <w:rPr>
          <w:rFonts w:ascii="Arial" w:hAnsi="Arial" w:cs="Arial"/>
          <w:bCs/>
          <w:lang w:val="en-GB"/>
        </w:rPr>
        <w:t>[</w:t>
      </w:r>
      <w:r w:rsidR="009E3671" w:rsidRPr="009E3671">
        <w:rPr>
          <w:rFonts w:ascii="Arial" w:hAnsi="Arial" w:cs="Arial"/>
          <w:bCs/>
          <w:highlight w:val="yellow"/>
          <w:lang w:val="en-GB"/>
        </w:rPr>
        <w:t>6 (</w:t>
      </w:r>
      <w:r w:rsidRPr="009E3671">
        <w:rPr>
          <w:rFonts w:ascii="Arial" w:hAnsi="Arial" w:cs="Arial"/>
          <w:bCs/>
          <w:highlight w:val="yellow"/>
          <w:lang w:val="en-GB"/>
        </w:rPr>
        <w:t>six</w:t>
      </w:r>
      <w:r w:rsidR="009E3671" w:rsidRPr="009E3671">
        <w:rPr>
          <w:rFonts w:ascii="Arial" w:hAnsi="Arial" w:cs="Arial"/>
          <w:bCs/>
          <w:highlight w:val="yellow"/>
          <w:lang w:val="en-GB"/>
        </w:rPr>
        <w:t>)</w:t>
      </w:r>
      <w:r w:rsidRPr="009E3671">
        <w:rPr>
          <w:rFonts w:ascii="Arial" w:hAnsi="Arial" w:cs="Arial"/>
          <w:bCs/>
          <w:highlight w:val="yellow"/>
          <w:lang w:val="en-GB"/>
        </w:rPr>
        <w:t xml:space="preserve"> months</w:t>
      </w:r>
      <w:r w:rsidR="009E3671">
        <w:rPr>
          <w:rFonts w:ascii="Arial" w:hAnsi="Arial" w:cs="Arial"/>
          <w:bCs/>
          <w:lang w:val="en-GB"/>
        </w:rPr>
        <w:t>]</w:t>
      </w:r>
      <w:r>
        <w:rPr>
          <w:rFonts w:ascii="Arial" w:hAnsi="Arial" w:cs="Arial"/>
          <w:bCs/>
          <w:lang w:val="en-GB"/>
        </w:rPr>
        <w:t xml:space="preserve">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20839BC6"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sidR="009E3671">
        <w:rPr>
          <w:rFonts w:ascii="Arial" w:hAnsi="Arial" w:cs="Arial"/>
          <w:lang w:val="en-GB"/>
        </w:rPr>
        <w:t>party</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lastRenderedPageBreak/>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9E3671">
        <w:rPr>
          <w:rStyle w:val="CommentReference"/>
          <w:rFonts w:ascii="Arial" w:hAnsi="Arial" w:cs="Arial"/>
          <w:bCs/>
          <w:sz w:val="20"/>
          <w:szCs w:val="20"/>
          <w:lang w:val="en-GB"/>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04F570A2"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w:t>
      </w:r>
      <w:r w:rsidRPr="009E3671">
        <w:rPr>
          <w:rFonts w:ascii="Arial" w:hAnsi="Arial" w:cs="Arial"/>
          <w:i/>
          <w:iCs/>
          <w:highlight w:val="yellow"/>
        </w:rPr>
        <w:t>reflected</w:t>
      </w:r>
      <w:r w:rsidR="009E3671" w:rsidRPr="009E3671">
        <w:rPr>
          <w:rFonts w:ascii="Arial" w:hAnsi="Arial" w:cs="Arial"/>
          <w:highlight w:val="yellow"/>
        </w:rPr>
        <w:t xml:space="preserve">. </w:t>
      </w:r>
      <w:r w:rsidR="009E3671" w:rsidRPr="009E3671">
        <w:rPr>
          <w:rFonts w:ascii="Arial" w:hAnsi="Arial" w:cs="Arial"/>
          <w:i/>
          <w:iCs/>
          <w:highlight w:val="yellow"/>
        </w:rPr>
        <w:t>Including</w:t>
      </w:r>
      <w:r w:rsidR="009E3671" w:rsidRPr="00A050DB">
        <w:rPr>
          <w:rFonts w:ascii="Arial" w:hAnsi="Arial" w:cs="Arial"/>
          <w:i/>
          <w:iCs/>
          <w:highlight w:val="yellow"/>
        </w:rPr>
        <w:t>, where applicable, the situation where such Foreground is generated by the Research Organisation(s) but the corresponding specific costs used for generating the Foreground are borne in full by the Industrial Partner(s).</w:t>
      </w:r>
      <w:r w:rsidR="009E3671" w:rsidRPr="00A050DB">
        <w:rPr>
          <w:rFonts w:ascii="Arial" w:hAnsi="Arial" w:cs="Arial"/>
          <w:highlight w:val="yellow"/>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0E27AC87"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9E3671">
        <w:rPr>
          <w:rStyle w:val="CommentReference"/>
          <w:rFonts w:ascii="Arial" w:hAnsi="Arial" w:cs="Arial"/>
          <w:bCs/>
          <w:sz w:val="20"/>
          <w:szCs w:val="20"/>
          <w:lang w:val="en-GB"/>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(i)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 xml:space="preserve">the </w:t>
      </w:r>
      <w:r w:rsidR="005F66B2">
        <w:rPr>
          <w:rFonts w:ascii="Arial" w:hAnsi="Arial" w:cs="Arial"/>
          <w:bCs/>
          <w:lang w:val="en-GB"/>
        </w:rPr>
        <w:t>PPP Program BRAINS</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 xml:space="preserve">the </w:t>
      </w:r>
      <w:r w:rsidR="005F66B2">
        <w:rPr>
          <w:rFonts w:ascii="Arial" w:hAnsi="Arial" w:cs="Arial"/>
          <w:bCs/>
          <w:lang w:val="en-GB"/>
        </w:rPr>
        <w:t>PPP Program BRAINS</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w:t>
      </w:r>
      <w:r w:rsidRPr="001552FC">
        <w:rPr>
          <w:rFonts w:ascii="Arial" w:hAnsi="Arial" w:cs="Arial"/>
          <w:bCs/>
          <w:lang w:val="en-GB"/>
        </w:rPr>
        <w:lastRenderedPageBreak/>
        <w:t xml:space="preserve">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 xml:space="preserve">(i)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(i)</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(i)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w:t>
      </w:r>
      <w:r w:rsidRPr="00933F10">
        <w:rPr>
          <w:rFonts w:ascii="Arial" w:hAnsi="Arial" w:cs="Arial"/>
          <w:bCs/>
          <w:color w:val="000000"/>
          <w:lang w:val="en-GB"/>
        </w:rPr>
        <w:lastRenderedPageBreak/>
        <w:t xml:space="preserve">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 xml:space="preserve">shall further be responsible for the fulfilment of the above obligations on the part of its employees and </w:t>
      </w:r>
      <w:r w:rsidRPr="001552FC">
        <w:rPr>
          <w:rFonts w:ascii="Arial" w:hAnsi="Arial" w:cs="Arial"/>
          <w:color w:val="000000"/>
          <w:lang w:val="en-GB"/>
        </w:rPr>
        <w:lastRenderedPageBreak/>
        <w:t>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16564D6E"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5F66B2">
        <w:rPr>
          <w:rFonts w:ascii="Arial" w:hAnsi="Arial" w:cs="Arial"/>
          <w:color w:val="000000"/>
          <w:lang w:val="en-GB"/>
        </w:rPr>
        <w:t>PPP Program BRAINS</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 xml:space="preserve">the </w:t>
      </w:r>
      <w:r w:rsidR="005F66B2">
        <w:rPr>
          <w:rFonts w:ascii="Arial" w:hAnsi="Arial" w:cs="Arial"/>
          <w:color w:val="000000"/>
          <w:lang w:val="en-GB"/>
        </w:rPr>
        <w:t>PPP Program BRAINS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07E524EB"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 xml:space="preserve">the </w:t>
      </w:r>
      <w:r w:rsidR="005F66B2">
        <w:rPr>
          <w:rFonts w:ascii="Arial" w:hAnsi="Arial" w:cs="Arial"/>
          <w:color w:val="000000"/>
          <w:sz w:val="20"/>
          <w:szCs w:val="20"/>
          <w:highlight w:val="yellow"/>
          <w:lang w:val="en-GB" w:eastAsia="en-US"/>
        </w:rPr>
        <w:t>PPP Program BRAINS</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543E8BF3"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The </w:t>
      </w:r>
      <w:r w:rsidR="005F66B2">
        <w:rPr>
          <w:rFonts w:ascii="Arial" w:hAnsi="Arial" w:cs="Arial"/>
          <w:bCs/>
          <w:color w:val="000000"/>
          <w:sz w:val="20"/>
          <w:szCs w:val="20"/>
          <w:lang w:val="en-GB" w:eastAsia="en-US"/>
        </w:rPr>
        <w:t>PPP Program BRAINS</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 xml:space="preserve">the </w:t>
      </w:r>
      <w:r w:rsidR="005F66B2">
        <w:rPr>
          <w:rFonts w:ascii="Arial" w:hAnsi="Arial" w:cs="Arial"/>
          <w:bCs/>
          <w:color w:val="000000"/>
          <w:sz w:val="20"/>
          <w:szCs w:val="20"/>
          <w:lang w:val="en-GB" w:eastAsia="en-US"/>
        </w:rPr>
        <w:t>PPP Program BRAINS</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E8BCC6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5F66B2">
        <w:rPr>
          <w:rFonts w:ascii="Arial" w:hAnsi="Arial" w:cs="Arial"/>
          <w:sz w:val="20"/>
          <w:szCs w:val="20"/>
          <w:lang w:val="en-GB"/>
        </w:rPr>
        <w:t>PPP Program BRAINS</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even" r:id="rId16"/>
      <w:headerReference w:type="default" r:id="rId17"/>
      <w:footerReference w:type="even" r:id="rId18"/>
      <w:footerReference w:type="default" r:id="rId19"/>
      <w:headerReference w:type="first" r:id="rId20"/>
      <w:footerReference w:type="first" r:id="rId21"/>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Annebel Hendrix" w:date="2026-03-24T11:23:00Z" w:initials="AH">
    <w:p w14:paraId="4A0BDC3B" w14:textId="77777777" w:rsidR="009E3671" w:rsidRDefault="009E3671" w:rsidP="009E3671">
      <w:r>
        <w:rPr>
          <w:rStyle w:val="CommentReference"/>
        </w:rPr>
        <w:annotationRef/>
      </w:r>
      <w:r>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Pr>
          <w:b/>
          <w:bCs/>
          <w:sz w:val="20"/>
          <w:szCs w:val="20"/>
          <w:highlight w:val="yellow"/>
          <w:u w:val="single"/>
        </w:rPr>
        <w:t>optional</w:t>
      </w:r>
      <w:r>
        <w:rPr>
          <w:sz w:val="20"/>
          <w:szCs w:val="20"/>
          <w:highlight w:val="yellow"/>
        </w:rPr>
        <w:t>. Parties may also choose to delete Section 8.10 and the reference thereto in 8.2.1.</w:t>
      </w:r>
    </w:p>
  </w:comment>
  <w:comment w:id="12" w:author="Annebel Hendrix" w:date="2026-03-24T11:24:00Z" w:initials="AH">
    <w:p w14:paraId="73FBBB5D" w14:textId="77777777" w:rsidR="009E3671" w:rsidRDefault="009E3671" w:rsidP="009E3671">
      <w:r>
        <w:rPr>
          <w:rStyle w:val="CommentReference"/>
        </w:rPr>
        <w:annotationRef/>
      </w:r>
      <w:r>
        <w:rPr>
          <w:sz w:val="20"/>
          <w:szCs w:val="20"/>
          <w:highlight w:val="yellow"/>
        </w:rPr>
        <w:t>See comment at 8.2. This section is optional and may be deleted and replaced by [INTENTIONALLY DELETED</w:t>
      </w:r>
      <w:r>
        <w:rPr>
          <w:sz w:val="20"/>
          <w:szCs w:val="20"/>
        </w:rPr>
        <w:t>]</w:t>
      </w:r>
      <w:r>
        <w:rPr>
          <w:sz w:val="20"/>
          <w:szCs w:val="20"/>
          <w:highlight w:val="yellow"/>
        </w:rPr>
        <w:t>.</w:t>
      </w:r>
    </w:p>
  </w:comment>
  <w:comment w:id="14" w:author="Annebel Hendrix" w:date="2026-03-24T11:24:00Z" w:initials="AH">
    <w:p w14:paraId="4CAB82C8" w14:textId="77777777" w:rsidR="009E3671" w:rsidRDefault="009E3671" w:rsidP="009E3671">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 This section is optional and may be deleted and replaced by [INTENTIONALLY DELETED</w:t>
      </w:r>
      <w:r>
        <w:rPr>
          <w:sz w:val="20"/>
          <w:szCs w:val="20"/>
        </w:rPr>
        <w:t>]</w:t>
      </w:r>
      <w:r>
        <w:rPr>
          <w:sz w:val="20"/>
          <w:szCs w:val="20"/>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4A0BDC3B" w15:done="0"/>
  <w15:commentEx w15:paraId="73FBBB5D" w15:done="0"/>
  <w15:commentEx w15:paraId="4CAB8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1EEFBE88" w16cex:dateUtc="2026-03-24T10:23:00Z"/>
  <w16cex:commentExtensible w16cex:durableId="6FA89DEA" w16cex:dateUtc="2026-03-24T10:24:00Z"/>
  <w16cex:commentExtensible w16cex:durableId="1215EBE9" w16cex:dateUtc="2026-03-2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4A0BDC3B" w16cid:durableId="1EEFBE88"/>
  <w16cid:commentId w16cid:paraId="73FBBB5D" w16cid:durableId="6FA89DEA"/>
  <w16cid:commentId w16cid:paraId="4CAB82C8" w16cid:durableId="1215E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B5B0" w14:textId="77777777" w:rsidR="00B71B74" w:rsidRDefault="00B71B74">
      <w:r>
        <w:separator/>
      </w:r>
    </w:p>
  </w:endnote>
  <w:endnote w:type="continuationSeparator" w:id="0">
    <w:p w14:paraId="3281ACF8" w14:textId="77777777" w:rsidR="00B71B74" w:rsidRDefault="00B71B74">
      <w:r>
        <w:continuationSeparator/>
      </w:r>
    </w:p>
  </w:endnote>
  <w:endnote w:type="continuationNotice" w:id="1">
    <w:p w14:paraId="203AF544" w14:textId="77777777" w:rsidR="00B71B74" w:rsidRDefault="00B71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A277" w14:textId="77777777" w:rsidR="00761C1C" w:rsidRDefault="0076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8B13" w14:textId="77777777" w:rsidR="00B71B74" w:rsidRDefault="00B71B74">
      <w:r>
        <w:separator/>
      </w:r>
    </w:p>
  </w:footnote>
  <w:footnote w:type="continuationSeparator" w:id="0">
    <w:p w14:paraId="76922229" w14:textId="77777777" w:rsidR="00B71B74" w:rsidRDefault="00B71B74">
      <w:r>
        <w:continuationSeparator/>
      </w:r>
    </w:p>
  </w:footnote>
  <w:footnote w:type="continuationNotice" w:id="1">
    <w:p w14:paraId="219EDC50" w14:textId="77777777" w:rsidR="00B71B74" w:rsidRDefault="00B71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CBBD" w14:textId="77777777" w:rsidR="00761C1C" w:rsidRDefault="00761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DFF0" w14:textId="0702F19F" w:rsidR="00286741" w:rsidRPr="00C908DA" w:rsidRDefault="00761C1C" w:rsidP="002D75D4">
    <w:pPr>
      <w:pStyle w:val="Header"/>
      <w:rPr>
        <w:rFonts w:ascii="Arial" w:hAnsi="Arial"/>
        <w:color w:val="A6A6A6" w:themeColor="background1" w:themeShade="A6"/>
        <w:sz w:val="16"/>
        <w:lang w:val="en-US"/>
      </w:rPr>
    </w:pPr>
    <w:sdt>
      <w:sdtPr>
        <w:rPr>
          <w:rFonts w:ascii="Arial" w:hAnsi="Arial"/>
          <w:color w:val="A6A6A6" w:themeColor="background1" w:themeShade="A6"/>
          <w:sz w:val="16"/>
          <w:lang w:val="en-US"/>
        </w:rPr>
        <w:id w:val="771210901"/>
        <w:docPartObj>
          <w:docPartGallery w:val="Watermarks"/>
          <w:docPartUnique/>
        </w:docPartObj>
      </w:sdtPr>
      <w:sdtContent>
        <w:r w:rsidRPr="00761C1C">
          <w:rPr>
            <w:rFonts w:ascii="Arial" w:hAnsi="Arial"/>
            <w:noProof/>
            <w:color w:val="A6A6A6" w:themeColor="background1" w:themeShade="A6"/>
            <w:sz w:val="16"/>
            <w:lang w:val="en-US"/>
          </w:rPr>
          <w:pict w14:anchorId="7750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91B12"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00691B12" w:rsidRPr="00C908DA">
      <w:rPr>
        <w:rFonts w:ascii="Arial" w:hAnsi="Arial"/>
        <w:color w:val="A6A6A6" w:themeColor="background1" w:themeShade="A6"/>
        <w:sz w:val="16"/>
        <w:lang w:val="en-US"/>
      </w:rPr>
      <w:t>number&gt;</w:t>
    </w:r>
    <w:r w:rsidR="002D75D4">
      <w:rPr>
        <w:rFonts w:ascii="Arial" w:hAnsi="Arial"/>
        <w:color w:val="A6A6A6" w:themeColor="background1" w:themeShade="A6"/>
        <w:sz w:val="16"/>
        <w:lang w:val="en-US"/>
      </w:rPr>
      <w:tab/>
      <w:t xml:space="preserve">                 </w:t>
    </w:r>
    <w:r w:rsidR="002D75D4" w:rsidRPr="002D75D4">
      <w:rPr>
        <w:rFonts w:ascii="Arial" w:hAnsi="Arial"/>
        <w:color w:val="A6A6A6" w:themeColor="background1" w:themeShade="A6"/>
        <w:sz w:val="16"/>
        <w:lang w:val="en-US"/>
      </w:rPr>
      <w:t>CONSORTIUM AGREEMENT FOR PPP SUBSIDY PROJECTS (BRAINS-2026 PPP call)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7B29" w14:textId="77777777" w:rsidR="00761C1C" w:rsidRDefault="0076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Annebel Hendrix">
    <w15:presenceInfo w15:providerId="AD" w15:userId="S::Hendrix@health-holland.com::7f080535-ec6f-4d31-ad48-7dd91aecc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3F16"/>
    <w:rsid w:val="000260BC"/>
    <w:rsid w:val="0002626E"/>
    <w:rsid w:val="00041509"/>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E6CBF"/>
    <w:rsid w:val="000F0708"/>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2913"/>
    <w:rsid w:val="001A4CEF"/>
    <w:rsid w:val="001A6385"/>
    <w:rsid w:val="001A6CBB"/>
    <w:rsid w:val="001A7ADD"/>
    <w:rsid w:val="001B047B"/>
    <w:rsid w:val="001B0B31"/>
    <w:rsid w:val="001B0B7E"/>
    <w:rsid w:val="001B598B"/>
    <w:rsid w:val="001B7C5D"/>
    <w:rsid w:val="001C12FD"/>
    <w:rsid w:val="001C46E2"/>
    <w:rsid w:val="001C6A68"/>
    <w:rsid w:val="001D0971"/>
    <w:rsid w:val="001D7186"/>
    <w:rsid w:val="001E1133"/>
    <w:rsid w:val="001E39D6"/>
    <w:rsid w:val="001E7CC1"/>
    <w:rsid w:val="001F4C57"/>
    <w:rsid w:val="001F6983"/>
    <w:rsid w:val="001F6E10"/>
    <w:rsid w:val="00202C07"/>
    <w:rsid w:val="002100F1"/>
    <w:rsid w:val="002105C9"/>
    <w:rsid w:val="00211F60"/>
    <w:rsid w:val="00214AC8"/>
    <w:rsid w:val="00215661"/>
    <w:rsid w:val="00225128"/>
    <w:rsid w:val="00227DAF"/>
    <w:rsid w:val="00242A4C"/>
    <w:rsid w:val="002501DA"/>
    <w:rsid w:val="00250837"/>
    <w:rsid w:val="002542A3"/>
    <w:rsid w:val="00257156"/>
    <w:rsid w:val="00265AFB"/>
    <w:rsid w:val="00270A1B"/>
    <w:rsid w:val="00271842"/>
    <w:rsid w:val="00274435"/>
    <w:rsid w:val="00275E63"/>
    <w:rsid w:val="00276B8D"/>
    <w:rsid w:val="0027706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5D4"/>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4D3A"/>
    <w:rsid w:val="00376CC7"/>
    <w:rsid w:val="00390D49"/>
    <w:rsid w:val="00392B00"/>
    <w:rsid w:val="00393652"/>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7416A"/>
    <w:rsid w:val="00477B71"/>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B6DEA"/>
    <w:rsid w:val="004C09D4"/>
    <w:rsid w:val="004C2A92"/>
    <w:rsid w:val="004D05C3"/>
    <w:rsid w:val="004D2B47"/>
    <w:rsid w:val="004D3FE7"/>
    <w:rsid w:val="004D791A"/>
    <w:rsid w:val="004E21BE"/>
    <w:rsid w:val="004E4682"/>
    <w:rsid w:val="004F49EF"/>
    <w:rsid w:val="004F5AD8"/>
    <w:rsid w:val="004F65E3"/>
    <w:rsid w:val="00502892"/>
    <w:rsid w:val="00506D53"/>
    <w:rsid w:val="00541639"/>
    <w:rsid w:val="00541CFC"/>
    <w:rsid w:val="00542353"/>
    <w:rsid w:val="00546175"/>
    <w:rsid w:val="0055014A"/>
    <w:rsid w:val="0055210F"/>
    <w:rsid w:val="0055409D"/>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33C1"/>
    <w:rsid w:val="005F5CF9"/>
    <w:rsid w:val="005F66B2"/>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97870"/>
    <w:rsid w:val="006A1B8B"/>
    <w:rsid w:val="006A367D"/>
    <w:rsid w:val="006A497A"/>
    <w:rsid w:val="006B38ED"/>
    <w:rsid w:val="006C042A"/>
    <w:rsid w:val="006C0660"/>
    <w:rsid w:val="006C0D53"/>
    <w:rsid w:val="006C5036"/>
    <w:rsid w:val="006C50C3"/>
    <w:rsid w:val="006D63CA"/>
    <w:rsid w:val="006E1BF6"/>
    <w:rsid w:val="006E57A5"/>
    <w:rsid w:val="006E60CC"/>
    <w:rsid w:val="006E69E9"/>
    <w:rsid w:val="006F0A51"/>
    <w:rsid w:val="006F1724"/>
    <w:rsid w:val="006F1C83"/>
    <w:rsid w:val="006F656A"/>
    <w:rsid w:val="006F6F12"/>
    <w:rsid w:val="00704826"/>
    <w:rsid w:val="007079FC"/>
    <w:rsid w:val="00726819"/>
    <w:rsid w:val="007276DC"/>
    <w:rsid w:val="007316C1"/>
    <w:rsid w:val="00732C97"/>
    <w:rsid w:val="007342D9"/>
    <w:rsid w:val="00743FEA"/>
    <w:rsid w:val="007502B5"/>
    <w:rsid w:val="00751AFC"/>
    <w:rsid w:val="00757FB8"/>
    <w:rsid w:val="0076066D"/>
    <w:rsid w:val="00761C1C"/>
    <w:rsid w:val="0076456C"/>
    <w:rsid w:val="00764ED0"/>
    <w:rsid w:val="00766692"/>
    <w:rsid w:val="00773E97"/>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2608"/>
    <w:rsid w:val="00823BCC"/>
    <w:rsid w:val="008267EC"/>
    <w:rsid w:val="008308A6"/>
    <w:rsid w:val="0083129E"/>
    <w:rsid w:val="0083302E"/>
    <w:rsid w:val="008376D6"/>
    <w:rsid w:val="00840497"/>
    <w:rsid w:val="00843368"/>
    <w:rsid w:val="00853079"/>
    <w:rsid w:val="00860392"/>
    <w:rsid w:val="00865B22"/>
    <w:rsid w:val="00867C4E"/>
    <w:rsid w:val="00871108"/>
    <w:rsid w:val="0087146F"/>
    <w:rsid w:val="008716CE"/>
    <w:rsid w:val="00871A2A"/>
    <w:rsid w:val="00874EBA"/>
    <w:rsid w:val="00875986"/>
    <w:rsid w:val="0088499F"/>
    <w:rsid w:val="00890F7E"/>
    <w:rsid w:val="00891717"/>
    <w:rsid w:val="0089332D"/>
    <w:rsid w:val="0089661A"/>
    <w:rsid w:val="008A3CD1"/>
    <w:rsid w:val="008B434F"/>
    <w:rsid w:val="008B498A"/>
    <w:rsid w:val="008C57C1"/>
    <w:rsid w:val="008D052E"/>
    <w:rsid w:val="008D0A03"/>
    <w:rsid w:val="008D22DB"/>
    <w:rsid w:val="008D700E"/>
    <w:rsid w:val="008D7524"/>
    <w:rsid w:val="008E0AE8"/>
    <w:rsid w:val="008E49A0"/>
    <w:rsid w:val="008F24C2"/>
    <w:rsid w:val="008F3C10"/>
    <w:rsid w:val="008F5D93"/>
    <w:rsid w:val="008F724D"/>
    <w:rsid w:val="00902253"/>
    <w:rsid w:val="0090450C"/>
    <w:rsid w:val="0092418E"/>
    <w:rsid w:val="0093100E"/>
    <w:rsid w:val="00933A8E"/>
    <w:rsid w:val="00933F10"/>
    <w:rsid w:val="00942681"/>
    <w:rsid w:val="00947ABE"/>
    <w:rsid w:val="009571A4"/>
    <w:rsid w:val="00961DE9"/>
    <w:rsid w:val="009739ED"/>
    <w:rsid w:val="00973DC3"/>
    <w:rsid w:val="00974999"/>
    <w:rsid w:val="009767A6"/>
    <w:rsid w:val="00984370"/>
    <w:rsid w:val="00985D44"/>
    <w:rsid w:val="00985E95"/>
    <w:rsid w:val="00987D6E"/>
    <w:rsid w:val="00997178"/>
    <w:rsid w:val="00997AF3"/>
    <w:rsid w:val="009A02FC"/>
    <w:rsid w:val="009A04A8"/>
    <w:rsid w:val="009A0563"/>
    <w:rsid w:val="009A1B5D"/>
    <w:rsid w:val="009B0491"/>
    <w:rsid w:val="009B1EE6"/>
    <w:rsid w:val="009B7357"/>
    <w:rsid w:val="009C0623"/>
    <w:rsid w:val="009C1875"/>
    <w:rsid w:val="009D1579"/>
    <w:rsid w:val="009D4A9A"/>
    <w:rsid w:val="009E15E8"/>
    <w:rsid w:val="009E1EB5"/>
    <w:rsid w:val="009E2F0D"/>
    <w:rsid w:val="009E3671"/>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0B85"/>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264D"/>
    <w:rsid w:val="00B24199"/>
    <w:rsid w:val="00B252CB"/>
    <w:rsid w:val="00B26D3C"/>
    <w:rsid w:val="00B326F0"/>
    <w:rsid w:val="00B41021"/>
    <w:rsid w:val="00B43385"/>
    <w:rsid w:val="00B4460D"/>
    <w:rsid w:val="00B469D7"/>
    <w:rsid w:val="00B47F61"/>
    <w:rsid w:val="00B529A9"/>
    <w:rsid w:val="00B60144"/>
    <w:rsid w:val="00B63C7F"/>
    <w:rsid w:val="00B63FA1"/>
    <w:rsid w:val="00B67C7F"/>
    <w:rsid w:val="00B71B74"/>
    <w:rsid w:val="00B72E4F"/>
    <w:rsid w:val="00B746AE"/>
    <w:rsid w:val="00B75BD9"/>
    <w:rsid w:val="00B76ED0"/>
    <w:rsid w:val="00B77456"/>
    <w:rsid w:val="00B809DC"/>
    <w:rsid w:val="00B81F4B"/>
    <w:rsid w:val="00B93D54"/>
    <w:rsid w:val="00B960FB"/>
    <w:rsid w:val="00B96147"/>
    <w:rsid w:val="00BB5054"/>
    <w:rsid w:val="00BB648A"/>
    <w:rsid w:val="00BB6964"/>
    <w:rsid w:val="00BB731E"/>
    <w:rsid w:val="00BB7C35"/>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43B6"/>
    <w:rsid w:val="00C55B2C"/>
    <w:rsid w:val="00C60579"/>
    <w:rsid w:val="00C678E4"/>
    <w:rsid w:val="00C807B5"/>
    <w:rsid w:val="00C83CB6"/>
    <w:rsid w:val="00C90D86"/>
    <w:rsid w:val="00C94A22"/>
    <w:rsid w:val="00C956DC"/>
    <w:rsid w:val="00CA25D2"/>
    <w:rsid w:val="00CA4BB6"/>
    <w:rsid w:val="00CA5AB8"/>
    <w:rsid w:val="00CB6E7E"/>
    <w:rsid w:val="00CB6F73"/>
    <w:rsid w:val="00CD0DC5"/>
    <w:rsid w:val="00CD35AA"/>
    <w:rsid w:val="00CD542E"/>
    <w:rsid w:val="00CD796B"/>
    <w:rsid w:val="00CE1578"/>
    <w:rsid w:val="00CF0060"/>
    <w:rsid w:val="00CF35F6"/>
    <w:rsid w:val="00CF4D79"/>
    <w:rsid w:val="00CF5EF5"/>
    <w:rsid w:val="00CF5F32"/>
    <w:rsid w:val="00D02084"/>
    <w:rsid w:val="00D06C90"/>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90EC8"/>
    <w:rsid w:val="00D93561"/>
    <w:rsid w:val="00D9601E"/>
    <w:rsid w:val="00D97235"/>
    <w:rsid w:val="00DA0257"/>
    <w:rsid w:val="00DA4F77"/>
    <w:rsid w:val="00DB5E83"/>
    <w:rsid w:val="00DC5544"/>
    <w:rsid w:val="00DC5CD0"/>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67226"/>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D153E"/>
    <w:rsid w:val="00ED3ADA"/>
    <w:rsid w:val="00EE5193"/>
    <w:rsid w:val="00EE565C"/>
    <w:rsid w:val="00EF002D"/>
    <w:rsid w:val="00EF3A5B"/>
    <w:rsid w:val="00EF5196"/>
    <w:rsid w:val="00EF773F"/>
    <w:rsid w:val="00F00DC4"/>
    <w:rsid w:val="00F07FB2"/>
    <w:rsid w:val="00F124C9"/>
    <w:rsid w:val="00F12E63"/>
    <w:rsid w:val="00F13ECE"/>
    <w:rsid w:val="00F14D9D"/>
    <w:rsid w:val="00F25FF6"/>
    <w:rsid w:val="00F3359D"/>
    <w:rsid w:val="00F35E70"/>
    <w:rsid w:val="00F435E3"/>
    <w:rsid w:val="00F459C0"/>
    <w:rsid w:val="00F515EF"/>
    <w:rsid w:val="00F52F99"/>
    <w:rsid w:val="00F551EE"/>
    <w:rsid w:val="00F5749A"/>
    <w:rsid w:val="00F65DDE"/>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E7D33"/>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616F9F44AEDD429D5ACB6ADA3D48D3" ma:contentTypeVersion="13" ma:contentTypeDescription="Een nieuw document maken." ma:contentTypeScope="" ma:versionID="181e1f8f4813605657e519ca420852f7">
  <xsd:schema xmlns:xsd="http://www.w3.org/2001/XMLSchema" xmlns:xs="http://www.w3.org/2001/XMLSchema" xmlns:p="http://schemas.microsoft.com/office/2006/metadata/properties" xmlns:ns2="8cd9ad8a-2a48-48cb-94ab-353636e31da4" xmlns:ns3="84772ef6-ddd0-4311-8d19-142e19ff52e3" targetNamespace="http://schemas.microsoft.com/office/2006/metadata/properties" ma:root="true" ma:fieldsID="765969c068ad5bb77b1cf0d8b1b897ce" ns2:_="" ns3:_="">
    <xsd:import namespace="8cd9ad8a-2a48-48cb-94ab-353636e31da4"/>
    <xsd:import namespace="84772ef6-ddd0-4311-8d19-142e19ff5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ad8a-2a48-48cb-94ab-353636e3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772ef6-ddd0-4311-8d19-142e19ff5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41ed4-1275-4a23-8474-e480b92b690c}" ma:internalName="TaxCatchAll" ma:showField="CatchAllData" ma:web="84772ef6-ddd0-4311-8d19-142e19ff5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772ef6-ddd0-4311-8d19-142e19ff52e3" xsi:nil="true"/>
    <lcf76f155ced4ddcb4097134ff3c332f xmlns="8cd9ad8a-2a48-48cb-94ab-353636e31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customXml/itemProps2.xml><?xml version="1.0" encoding="utf-8"?>
<ds:datastoreItem xmlns:ds="http://schemas.openxmlformats.org/officeDocument/2006/customXml" ds:itemID="{832ACC11-8173-4244-9460-B523AEE6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ad8a-2a48-48cb-94ab-353636e31da4"/>
    <ds:schemaRef ds:uri="84772ef6-ddd0-4311-8d19-142e19ff5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5.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84772ef6-ddd0-4311-8d19-142e19ff52e3"/>
    <ds:schemaRef ds:uri="8cd9ad8a-2a48-48cb-94ab-353636e31da4"/>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23</Pages>
  <Words>9122</Words>
  <Characters>52000</Characters>
  <Application>Microsoft Office Word</Application>
  <DocSecurity>0</DocSecurity>
  <Lines>433</Lines>
  <Paragraphs>121</Paragraphs>
  <ScaleCrop>false</ScaleCrop>
  <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Roos Overdevest</cp:lastModifiedBy>
  <cp:revision>38</cp:revision>
  <cp:lastPrinted>2019-03-15T01:47:00Z</cp:lastPrinted>
  <dcterms:created xsi:type="dcterms:W3CDTF">2026-04-13T07:22:00Z</dcterms:created>
  <dcterms:modified xsi:type="dcterms:W3CDTF">2026-06-01T07:48:00Z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0x01010020616F9F44AEDD429D5ACB6ADA3D48D3</vt:lpwstr>
  </property>
  <property fmtid="{D5CDD505-2E9C-101B-9397-08002B2CF9AE}" pid="3" name="MediaServiceImageTags">
    <vt:lpwstr/>
  </property>
</Properties>
</file>